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CD" w:rsidRDefault="00386FCD" w:rsidP="00C10C45">
      <w:pPr>
        <w:pStyle w:val="NormalWeb"/>
        <w:shd w:val="clear" w:color="auto" w:fill="FFFFFF"/>
        <w:tabs>
          <w:tab w:val="left" w:pos="708"/>
          <w:tab w:val="left" w:pos="1416"/>
          <w:tab w:val="left" w:pos="2124"/>
          <w:tab w:val="left" w:pos="2832"/>
          <w:tab w:val="left" w:pos="3540"/>
          <w:tab w:val="center" w:pos="4536"/>
        </w:tabs>
        <w:spacing w:before="0" w:beforeAutospacing="0"/>
        <w:rPr>
          <w:rFonts w:ascii="Arial" w:hAnsi="Arial" w:cs="Arial"/>
          <w:b/>
          <w:color w:val="212529"/>
          <w:sz w:val="23"/>
          <w:szCs w:val="23"/>
        </w:rPr>
      </w:pPr>
      <w:r>
        <w:rPr>
          <w:noProof/>
        </w:rPr>
        <w:drawing>
          <wp:inline distT="0" distB="0" distL="0" distR="0">
            <wp:extent cx="346280" cy="438150"/>
            <wp:effectExtent l="19050" t="0" r="0" b="0"/>
            <wp:docPr id="1" name="Image 1" descr="https://www.snes.edu/wp-content/uploads/f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es.edu/wp-content/uploads/fsu.png"/>
                    <pic:cNvPicPr>
                      <a:picLocks noChangeAspect="1" noChangeArrowheads="1"/>
                    </pic:cNvPicPr>
                  </pic:nvPicPr>
                  <pic:blipFill>
                    <a:blip r:embed="rId5"/>
                    <a:srcRect/>
                    <a:stretch>
                      <a:fillRect/>
                    </a:stretch>
                  </pic:blipFill>
                  <pic:spPr bwMode="auto">
                    <a:xfrm>
                      <a:off x="0" y="0"/>
                      <a:ext cx="346280" cy="438150"/>
                    </a:xfrm>
                    <a:prstGeom prst="rect">
                      <a:avLst/>
                    </a:prstGeom>
                    <a:noFill/>
                    <a:ln w="9525">
                      <a:noFill/>
                      <a:miter lim="800000"/>
                      <a:headEnd/>
                      <a:tailEnd/>
                    </a:ln>
                  </pic:spPr>
                </pic:pic>
              </a:graphicData>
            </a:graphic>
          </wp:inline>
        </w:drawing>
      </w:r>
      <w:r>
        <w:rPr>
          <w:rFonts w:ascii="Arial" w:hAnsi="Arial" w:cs="Arial"/>
          <w:b/>
          <w:color w:val="212529"/>
          <w:sz w:val="23"/>
          <w:szCs w:val="23"/>
        </w:rPr>
        <w:t xml:space="preserve"> </w:t>
      </w:r>
      <w:r>
        <w:rPr>
          <w:rFonts w:ascii="Arial" w:hAnsi="Arial" w:cs="Arial"/>
          <w:b/>
          <w:color w:val="212529"/>
          <w:sz w:val="23"/>
          <w:szCs w:val="23"/>
        </w:rPr>
        <w:tab/>
      </w:r>
      <w:r w:rsidR="00417763">
        <w:rPr>
          <w:rFonts w:ascii="Arial" w:hAnsi="Arial" w:cs="Arial"/>
          <w:b/>
          <w:color w:val="212529"/>
          <w:sz w:val="23"/>
          <w:szCs w:val="23"/>
        </w:rPr>
        <w:tab/>
      </w:r>
      <w:r w:rsidR="00417763">
        <w:rPr>
          <w:rFonts w:ascii="Arial" w:hAnsi="Arial" w:cs="Arial"/>
          <w:b/>
          <w:color w:val="212529"/>
          <w:sz w:val="23"/>
          <w:szCs w:val="23"/>
        </w:rPr>
        <w:tab/>
      </w:r>
      <w:r w:rsidR="00417763">
        <w:rPr>
          <w:rFonts w:ascii="Arial" w:hAnsi="Arial" w:cs="Arial"/>
          <w:b/>
          <w:color w:val="212529"/>
          <w:sz w:val="23"/>
          <w:szCs w:val="23"/>
        </w:rPr>
        <w:tab/>
      </w:r>
      <w:r>
        <w:rPr>
          <w:rFonts w:ascii="Arial" w:hAnsi="Arial" w:cs="Arial"/>
          <w:b/>
          <w:color w:val="212529"/>
          <w:sz w:val="23"/>
          <w:szCs w:val="23"/>
        </w:rPr>
        <w:tab/>
      </w:r>
      <w:r>
        <w:rPr>
          <w:noProof/>
        </w:rPr>
        <w:drawing>
          <wp:inline distT="0" distB="0" distL="0" distR="0">
            <wp:extent cx="1009650" cy="588962"/>
            <wp:effectExtent l="19050" t="0" r="0" b="0"/>
            <wp:docPr id="13" name="Image 13" descr="https://ci6.googleusercontent.com/proxy/PQ8ohLVV42VkWB3VH0FqVjDuoHk1B0eUfh4BqYldufHQSSjMq-OK8L53ljqYd3LmJzn-539QgzXHeUtByDn0pGXxNpNRW4O9TXDH7YQ=s0-d-e1-ft#https://adherent.snes.edu/DesignSite/IMG/jpg/logo_s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6.googleusercontent.com/proxy/PQ8ohLVV42VkWB3VH0FqVjDuoHk1B0eUfh4BqYldufHQSSjMq-OK8L53ljqYd3LmJzn-539QgzXHeUtByDn0pGXxNpNRW4O9TXDH7YQ=s0-d-e1-ft#https://adherent.snes.edu/DesignSite/IMG/jpg/logo_snes.jpg"/>
                    <pic:cNvPicPr>
                      <a:picLocks noChangeAspect="1" noChangeArrowheads="1"/>
                    </pic:cNvPicPr>
                  </pic:nvPicPr>
                  <pic:blipFill>
                    <a:blip r:embed="rId6" cstate="print"/>
                    <a:srcRect/>
                    <a:stretch>
                      <a:fillRect/>
                    </a:stretch>
                  </pic:blipFill>
                  <pic:spPr bwMode="auto">
                    <a:xfrm>
                      <a:off x="0" y="0"/>
                      <a:ext cx="1009316" cy="588767"/>
                    </a:xfrm>
                    <a:prstGeom prst="rect">
                      <a:avLst/>
                    </a:prstGeom>
                    <a:noFill/>
                    <a:ln w="9525">
                      <a:noFill/>
                      <a:miter lim="800000"/>
                      <a:headEnd/>
                      <a:tailEnd/>
                    </a:ln>
                  </pic:spPr>
                </pic:pic>
              </a:graphicData>
            </a:graphic>
          </wp:inline>
        </w:drawing>
      </w:r>
      <w:r>
        <w:rPr>
          <w:rFonts w:ascii="Arial" w:hAnsi="Arial" w:cs="Arial"/>
          <w:b/>
          <w:color w:val="212529"/>
          <w:sz w:val="23"/>
          <w:szCs w:val="23"/>
        </w:rPr>
        <w:tab/>
      </w:r>
      <w:r w:rsidR="00417763">
        <w:rPr>
          <w:rFonts w:ascii="Arial" w:hAnsi="Arial" w:cs="Arial"/>
          <w:b/>
          <w:color w:val="212529"/>
          <w:sz w:val="23"/>
          <w:szCs w:val="23"/>
        </w:rPr>
        <w:tab/>
      </w:r>
      <w:r w:rsidR="00417763">
        <w:rPr>
          <w:rFonts w:ascii="Arial" w:hAnsi="Arial" w:cs="Arial"/>
          <w:b/>
          <w:color w:val="212529"/>
          <w:sz w:val="23"/>
          <w:szCs w:val="23"/>
        </w:rPr>
        <w:tab/>
      </w:r>
      <w:r w:rsidR="00417763">
        <w:rPr>
          <w:rFonts w:ascii="Arial" w:hAnsi="Arial" w:cs="Arial"/>
          <w:b/>
          <w:color w:val="212529"/>
          <w:sz w:val="23"/>
          <w:szCs w:val="23"/>
        </w:rPr>
        <w:tab/>
      </w:r>
      <w:r w:rsidR="00C10C45">
        <w:rPr>
          <w:noProof/>
        </w:rPr>
        <w:drawing>
          <wp:inline distT="0" distB="0" distL="0" distR="0">
            <wp:extent cx="662174" cy="781050"/>
            <wp:effectExtent l="19050" t="0" r="4576" b="0"/>
            <wp:docPr id="22" name="Image 22" descr="CGT Educ'Action - UNSEN - fédération CGT Éducation Recherch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GT Educ'Action - UNSEN - fédération CGT Éducation Recherche Culture"/>
                    <pic:cNvPicPr>
                      <a:picLocks noChangeAspect="1" noChangeArrowheads="1"/>
                    </pic:cNvPicPr>
                  </pic:nvPicPr>
                  <pic:blipFill>
                    <a:blip r:embed="rId7" cstate="print"/>
                    <a:srcRect/>
                    <a:stretch>
                      <a:fillRect/>
                    </a:stretch>
                  </pic:blipFill>
                  <pic:spPr bwMode="auto">
                    <a:xfrm>
                      <a:off x="0" y="0"/>
                      <a:ext cx="662174" cy="781050"/>
                    </a:xfrm>
                    <a:prstGeom prst="rect">
                      <a:avLst/>
                    </a:prstGeom>
                    <a:noFill/>
                    <a:ln w="9525">
                      <a:noFill/>
                      <a:miter lim="800000"/>
                      <a:headEnd/>
                      <a:tailEnd/>
                    </a:ln>
                  </pic:spPr>
                </pic:pic>
              </a:graphicData>
            </a:graphic>
          </wp:inline>
        </w:drawing>
      </w:r>
      <w:r w:rsidR="00C10C45">
        <w:rPr>
          <w:rFonts w:ascii="Arial" w:hAnsi="Arial" w:cs="Arial"/>
          <w:b/>
          <w:color w:val="212529"/>
          <w:sz w:val="23"/>
          <w:szCs w:val="23"/>
        </w:rPr>
        <w:tab/>
      </w:r>
    </w:p>
    <w:p w:rsidR="00973D2F" w:rsidRPr="00A5717A" w:rsidRDefault="00A5717A" w:rsidP="00C10C45">
      <w:pPr>
        <w:pStyle w:val="NormalWeb"/>
        <w:shd w:val="clear" w:color="auto" w:fill="FFFFFF"/>
        <w:spacing w:before="0" w:beforeAutospacing="0"/>
        <w:jc w:val="center"/>
        <w:rPr>
          <w:rFonts w:ascii="Arial" w:hAnsi="Arial" w:cs="Arial"/>
          <w:b/>
          <w:color w:val="212529"/>
          <w:sz w:val="23"/>
          <w:szCs w:val="23"/>
        </w:rPr>
      </w:pPr>
      <w:r w:rsidRPr="00A5717A">
        <w:rPr>
          <w:rFonts w:ascii="Arial" w:hAnsi="Arial" w:cs="Arial"/>
          <w:b/>
          <w:color w:val="212529"/>
          <w:sz w:val="23"/>
          <w:szCs w:val="23"/>
        </w:rPr>
        <w:t>VOEUX</w:t>
      </w:r>
      <w:r w:rsidR="00386FCD" w:rsidRPr="00A5717A">
        <w:rPr>
          <w:rFonts w:ascii="Arial" w:hAnsi="Arial" w:cs="Arial"/>
          <w:b/>
          <w:color w:val="212529"/>
          <w:sz w:val="23"/>
          <w:szCs w:val="23"/>
        </w:rPr>
        <w:t xml:space="preserve"> N°</w:t>
      </w:r>
      <w:r w:rsidRPr="00A5717A">
        <w:rPr>
          <w:rFonts w:ascii="Arial" w:hAnsi="Arial" w:cs="Arial"/>
          <w:b/>
          <w:color w:val="212529"/>
          <w:sz w:val="23"/>
          <w:szCs w:val="23"/>
        </w:rPr>
        <w:t>2</w:t>
      </w:r>
    </w:p>
    <w:p w:rsidR="003F3D8E" w:rsidRPr="00C40D51" w:rsidRDefault="00A5717A" w:rsidP="003F3D8E">
      <w:pPr>
        <w:pStyle w:val="NormalWeb"/>
        <w:shd w:val="clear" w:color="auto" w:fill="FFFFFF"/>
        <w:rPr>
          <w:rFonts w:ascii="Arial" w:hAnsi="Arial" w:cs="Arial"/>
          <w:sz w:val="22"/>
          <w:szCs w:val="22"/>
        </w:rPr>
      </w:pPr>
      <w:r w:rsidRPr="00C40D51">
        <w:rPr>
          <w:rFonts w:ascii="Arial" w:hAnsi="Arial" w:cs="Arial"/>
          <w:sz w:val="22"/>
          <w:szCs w:val="22"/>
        </w:rPr>
        <w:t xml:space="preserve">Nous </w:t>
      </w:r>
      <w:r w:rsidR="003F3D8E" w:rsidRPr="00C40D51">
        <w:rPr>
          <w:rFonts w:ascii="Arial" w:hAnsi="Arial" w:cs="Arial"/>
          <w:sz w:val="22"/>
          <w:szCs w:val="22"/>
        </w:rPr>
        <w:t xml:space="preserve">sommes </w:t>
      </w:r>
      <w:r w:rsidRPr="00C40D51">
        <w:rPr>
          <w:rFonts w:ascii="Arial" w:hAnsi="Arial" w:cs="Arial"/>
          <w:sz w:val="22"/>
          <w:szCs w:val="22"/>
        </w:rPr>
        <w:t xml:space="preserve">depuis le </w:t>
      </w:r>
      <w:r w:rsidR="003F3D8E" w:rsidRPr="00C40D51">
        <w:rPr>
          <w:rFonts w:ascii="Arial" w:hAnsi="Arial" w:cs="Arial"/>
          <w:sz w:val="22"/>
          <w:szCs w:val="22"/>
        </w:rPr>
        <w:t>26 octobre 2020 dans un contexte de Sécurité renforcée. Cette posture actualise les mesures de vigilance, de prévention et de protection au regard de l’évolution de la menace terroriste, mais également de l’évolution de la crise sanitaire sur la période. Elle met l’accent sur :</w:t>
      </w:r>
    </w:p>
    <w:p w:rsidR="003F3D8E" w:rsidRPr="00C40D51" w:rsidRDefault="003F3D8E" w:rsidP="003F3D8E">
      <w:pPr>
        <w:pStyle w:val="NormalWeb"/>
        <w:numPr>
          <w:ilvl w:val="0"/>
          <w:numId w:val="2"/>
        </w:numPr>
        <w:shd w:val="clear" w:color="auto" w:fill="FFFFFF"/>
        <w:rPr>
          <w:rFonts w:ascii="Arial" w:hAnsi="Arial" w:cs="Arial"/>
          <w:sz w:val="22"/>
          <w:szCs w:val="22"/>
        </w:rPr>
      </w:pPr>
      <w:r w:rsidRPr="00C40D51">
        <w:rPr>
          <w:rFonts w:ascii="Arial" w:hAnsi="Arial" w:cs="Arial"/>
          <w:sz w:val="22"/>
          <w:szCs w:val="22"/>
        </w:rPr>
        <w:t>l'accueil à l'entrée des écoles et établissements scolaires assuré par un adulte ;</w:t>
      </w:r>
    </w:p>
    <w:p w:rsidR="003F3D8E" w:rsidRPr="00C40D51" w:rsidRDefault="003F3D8E" w:rsidP="003F3D8E">
      <w:pPr>
        <w:pStyle w:val="NormalWeb"/>
        <w:numPr>
          <w:ilvl w:val="0"/>
          <w:numId w:val="2"/>
        </w:numPr>
        <w:shd w:val="clear" w:color="auto" w:fill="FFFFFF"/>
        <w:rPr>
          <w:rFonts w:ascii="Arial" w:hAnsi="Arial" w:cs="Arial"/>
          <w:sz w:val="22"/>
          <w:szCs w:val="22"/>
        </w:rPr>
      </w:pPr>
      <w:r w:rsidRPr="00C40D51">
        <w:rPr>
          <w:rFonts w:ascii="Arial" w:hAnsi="Arial" w:cs="Arial"/>
          <w:sz w:val="22"/>
          <w:szCs w:val="22"/>
        </w:rPr>
        <w:t>un potentiel contrôle visuel des sacs ;</w:t>
      </w:r>
    </w:p>
    <w:p w:rsidR="003F3D8E" w:rsidRPr="00C40D51" w:rsidRDefault="003F3D8E" w:rsidP="003F3D8E">
      <w:pPr>
        <w:pStyle w:val="NormalWeb"/>
        <w:numPr>
          <w:ilvl w:val="0"/>
          <w:numId w:val="2"/>
        </w:numPr>
        <w:shd w:val="clear" w:color="auto" w:fill="FFFFFF"/>
        <w:rPr>
          <w:rFonts w:ascii="Arial" w:hAnsi="Arial" w:cs="Arial"/>
          <w:sz w:val="22"/>
          <w:szCs w:val="22"/>
        </w:rPr>
      </w:pPr>
      <w:r w:rsidRPr="00C40D51">
        <w:rPr>
          <w:rFonts w:ascii="Arial" w:hAnsi="Arial" w:cs="Arial"/>
          <w:sz w:val="22"/>
          <w:szCs w:val="22"/>
        </w:rPr>
        <w:t>le contrôle systématique de l'identité des personnes étrangères à l'établissement ;</w:t>
      </w:r>
    </w:p>
    <w:p w:rsidR="003F3D8E" w:rsidRPr="00C40D51" w:rsidRDefault="003F3D8E" w:rsidP="003F3D8E">
      <w:pPr>
        <w:pStyle w:val="NormalWeb"/>
        <w:numPr>
          <w:ilvl w:val="0"/>
          <w:numId w:val="2"/>
        </w:numPr>
        <w:shd w:val="clear" w:color="auto" w:fill="FFFFFF"/>
        <w:rPr>
          <w:rFonts w:ascii="Arial" w:hAnsi="Arial" w:cs="Arial"/>
          <w:sz w:val="22"/>
          <w:szCs w:val="22"/>
        </w:rPr>
      </w:pPr>
      <w:r w:rsidRPr="00C40D51">
        <w:rPr>
          <w:rFonts w:ascii="Arial" w:hAnsi="Arial" w:cs="Arial"/>
          <w:sz w:val="22"/>
          <w:szCs w:val="22"/>
        </w:rPr>
        <w:t xml:space="preserve">la réalisation de  trois exercices de sécurité, dont un avant les vacances de la Toussaint - prioritairement l'exercice "attentat intrusion" </w:t>
      </w:r>
    </w:p>
    <w:p w:rsidR="00417763" w:rsidRDefault="003F3D8E" w:rsidP="003F3D8E">
      <w:pPr>
        <w:pStyle w:val="NormalWeb"/>
        <w:shd w:val="clear" w:color="auto" w:fill="FFFFFF"/>
        <w:rPr>
          <w:rFonts w:ascii="Arial" w:hAnsi="Arial" w:cs="Arial"/>
          <w:sz w:val="22"/>
          <w:szCs w:val="22"/>
        </w:rPr>
      </w:pPr>
      <w:r w:rsidRPr="00C40D51">
        <w:rPr>
          <w:rFonts w:ascii="Arial" w:hAnsi="Arial" w:cs="Arial"/>
          <w:sz w:val="22"/>
          <w:szCs w:val="22"/>
        </w:rPr>
        <w:t>Une attention particulière doit être portée aux abords de l'établissement, en évitant tout attroupement préjudiciable à la sécurité des élèves.</w:t>
      </w:r>
    </w:p>
    <w:p w:rsidR="003F3D8E" w:rsidRPr="00C40D51" w:rsidRDefault="00973D2F" w:rsidP="003F3D8E">
      <w:pPr>
        <w:pStyle w:val="NormalWeb"/>
        <w:shd w:val="clear" w:color="auto" w:fill="FFFFFF"/>
        <w:rPr>
          <w:rFonts w:ascii="Arial" w:hAnsi="Arial" w:cs="Arial"/>
          <w:sz w:val="22"/>
          <w:szCs w:val="22"/>
        </w:rPr>
      </w:pPr>
      <w:r w:rsidRPr="00C40D51">
        <w:rPr>
          <w:rFonts w:ascii="Arial" w:hAnsi="Arial" w:cs="Arial"/>
          <w:sz w:val="22"/>
          <w:szCs w:val="22"/>
        </w:rPr>
        <w:br/>
        <w:t xml:space="preserve">Les enseignants du lycée Joliot-Curie </w:t>
      </w:r>
      <w:r w:rsidR="003F3D8E" w:rsidRPr="00C40D51">
        <w:rPr>
          <w:rFonts w:ascii="Arial" w:hAnsi="Arial" w:cs="Arial"/>
          <w:sz w:val="22"/>
          <w:szCs w:val="22"/>
        </w:rPr>
        <w:t xml:space="preserve">tiennent à signaler </w:t>
      </w:r>
      <w:r w:rsidR="00562D01">
        <w:rPr>
          <w:rFonts w:ascii="Arial" w:hAnsi="Arial" w:cs="Arial"/>
          <w:sz w:val="22"/>
          <w:szCs w:val="22"/>
        </w:rPr>
        <w:t>trois</w:t>
      </w:r>
      <w:r w:rsidR="003F3D8E" w:rsidRPr="00C40D51">
        <w:rPr>
          <w:rFonts w:ascii="Arial" w:hAnsi="Arial" w:cs="Arial"/>
          <w:sz w:val="22"/>
          <w:szCs w:val="22"/>
        </w:rPr>
        <w:t xml:space="preserve"> soucis majeurs qui concernent la sécurité de l’établissement</w:t>
      </w:r>
      <w:r w:rsidR="00475B30" w:rsidRPr="00C40D51">
        <w:rPr>
          <w:rFonts w:ascii="Arial" w:hAnsi="Arial" w:cs="Arial"/>
          <w:sz w:val="22"/>
          <w:szCs w:val="22"/>
        </w:rPr>
        <w:t xml:space="preserve"> : </w:t>
      </w:r>
    </w:p>
    <w:p w:rsidR="00475B30" w:rsidRPr="00C40D51" w:rsidRDefault="00475B30" w:rsidP="00475B30">
      <w:pPr>
        <w:pStyle w:val="NormalWeb"/>
        <w:numPr>
          <w:ilvl w:val="0"/>
          <w:numId w:val="2"/>
        </w:numPr>
        <w:shd w:val="clear" w:color="auto" w:fill="FFFFFF"/>
        <w:rPr>
          <w:rFonts w:ascii="Arial" w:hAnsi="Arial" w:cs="Arial"/>
          <w:sz w:val="22"/>
          <w:szCs w:val="22"/>
        </w:rPr>
      </w:pPr>
      <w:r w:rsidRPr="00C40D51">
        <w:rPr>
          <w:rFonts w:ascii="Arial" w:hAnsi="Arial" w:cs="Arial"/>
          <w:sz w:val="22"/>
          <w:szCs w:val="22"/>
        </w:rPr>
        <w:t xml:space="preserve">Une faille de sécurité à l’arrière du bâtiment D. En effet certains élèves se servent du portillon pour entrer et sortir du lycée en ignorant ainsi toutes les consignes de sécurité. </w:t>
      </w:r>
    </w:p>
    <w:p w:rsidR="00475B30" w:rsidRDefault="00475B30" w:rsidP="00475B30">
      <w:pPr>
        <w:pStyle w:val="NormalWeb"/>
        <w:numPr>
          <w:ilvl w:val="0"/>
          <w:numId w:val="2"/>
        </w:numPr>
        <w:shd w:val="clear" w:color="auto" w:fill="FFFFFF"/>
        <w:rPr>
          <w:rFonts w:ascii="Arial" w:hAnsi="Arial" w:cs="Arial"/>
          <w:sz w:val="22"/>
          <w:szCs w:val="22"/>
        </w:rPr>
      </w:pPr>
      <w:r w:rsidRPr="00C40D51">
        <w:rPr>
          <w:rFonts w:ascii="Arial" w:hAnsi="Arial" w:cs="Arial"/>
          <w:sz w:val="22"/>
          <w:szCs w:val="22"/>
        </w:rPr>
        <w:t xml:space="preserve">Le parking temporaire du lycée est aussi source </w:t>
      </w:r>
      <w:r w:rsidR="00C40D51">
        <w:rPr>
          <w:rFonts w:ascii="Arial" w:hAnsi="Arial" w:cs="Arial"/>
          <w:sz w:val="22"/>
          <w:szCs w:val="22"/>
        </w:rPr>
        <w:t>d</w:t>
      </w:r>
      <w:r w:rsidRPr="00C40D51">
        <w:rPr>
          <w:rFonts w:ascii="Arial" w:hAnsi="Arial" w:cs="Arial"/>
          <w:sz w:val="22"/>
          <w:szCs w:val="22"/>
        </w:rPr>
        <w:t>’insécurité. En effet certains personnels se sentent exposé</w:t>
      </w:r>
      <w:r w:rsidR="00C40D51">
        <w:rPr>
          <w:rFonts w:ascii="Arial" w:hAnsi="Arial" w:cs="Arial"/>
          <w:sz w:val="22"/>
          <w:szCs w:val="22"/>
        </w:rPr>
        <w:t>s</w:t>
      </w:r>
      <w:r w:rsidRPr="00C40D51">
        <w:rPr>
          <w:rFonts w:ascii="Arial" w:hAnsi="Arial" w:cs="Arial"/>
          <w:sz w:val="22"/>
          <w:szCs w:val="22"/>
        </w:rPr>
        <w:t xml:space="preserve"> durant le trajet qui relie le parking au lycée. Ce sentiment d’insécurité est renforcé par le fait que cette zone </w:t>
      </w:r>
      <w:r w:rsidR="00C40D51">
        <w:rPr>
          <w:rFonts w:ascii="Arial" w:hAnsi="Arial" w:cs="Arial"/>
          <w:sz w:val="22"/>
          <w:szCs w:val="22"/>
        </w:rPr>
        <w:t>a</w:t>
      </w:r>
      <w:r w:rsidRPr="00C40D51">
        <w:rPr>
          <w:rFonts w:ascii="Arial" w:hAnsi="Arial" w:cs="Arial"/>
          <w:sz w:val="22"/>
          <w:szCs w:val="22"/>
        </w:rPr>
        <w:t xml:space="preserve"> déjà servi de lieu d’affrontement entre des élèves et des personnes extérieures au lycée. </w:t>
      </w:r>
    </w:p>
    <w:p w:rsidR="00562D01" w:rsidRDefault="00562D01" w:rsidP="00475B30">
      <w:pPr>
        <w:pStyle w:val="NormalWeb"/>
        <w:numPr>
          <w:ilvl w:val="0"/>
          <w:numId w:val="2"/>
        </w:numPr>
        <w:shd w:val="clear" w:color="auto" w:fill="FFFFFF"/>
        <w:rPr>
          <w:rFonts w:ascii="Arial" w:hAnsi="Arial" w:cs="Arial"/>
          <w:sz w:val="22"/>
          <w:szCs w:val="22"/>
        </w:rPr>
      </w:pPr>
      <w:r>
        <w:rPr>
          <w:rFonts w:ascii="Arial" w:hAnsi="Arial" w:cs="Arial"/>
          <w:sz w:val="22"/>
          <w:szCs w:val="22"/>
        </w:rPr>
        <w:t>De plus le PPMS n’est pas applicable correctement dans le bâtiment D, en effet lors de l’évacuation, à cause des travaux il n’y a pas assez d’espace sur les point</w:t>
      </w:r>
      <w:r w:rsidR="00417763">
        <w:rPr>
          <w:rFonts w:ascii="Arial" w:hAnsi="Arial" w:cs="Arial"/>
          <w:sz w:val="22"/>
          <w:szCs w:val="22"/>
        </w:rPr>
        <w:t>s de rassemblement, ce qui crée</w:t>
      </w:r>
      <w:r>
        <w:rPr>
          <w:rFonts w:ascii="Arial" w:hAnsi="Arial" w:cs="Arial"/>
          <w:sz w:val="22"/>
          <w:szCs w:val="22"/>
        </w:rPr>
        <w:t xml:space="preserve"> un attroupement et accroît les risques d’accident.   </w:t>
      </w:r>
    </w:p>
    <w:p w:rsidR="00417763" w:rsidRDefault="00547F1A" w:rsidP="00CA2694">
      <w:pPr>
        <w:pStyle w:val="NormalWeb"/>
        <w:shd w:val="clear" w:color="auto" w:fill="FFFFFF"/>
        <w:rPr>
          <w:rFonts w:ascii="Arial" w:hAnsi="Arial" w:cs="Arial"/>
          <w:sz w:val="22"/>
          <w:szCs w:val="22"/>
        </w:rPr>
      </w:pPr>
      <w:r>
        <w:rPr>
          <w:rFonts w:ascii="Arial" w:hAnsi="Arial" w:cs="Arial"/>
          <w:color w:val="212529"/>
          <w:sz w:val="23"/>
          <w:szCs w:val="23"/>
        </w:rPr>
        <w:t>Les enseignants du lycée Joliot-Curie réclament :</w:t>
      </w:r>
      <w:r w:rsidR="00562D01">
        <w:rPr>
          <w:rFonts w:ascii="Arial" w:hAnsi="Arial" w:cs="Arial"/>
          <w:color w:val="212529"/>
          <w:sz w:val="23"/>
          <w:szCs w:val="23"/>
        </w:rPr>
        <w:t xml:space="preserve"> que des solutions soient envisagées concernant ces soucis, comme par exemple le recrutement d’AED supplémentaire</w:t>
      </w:r>
      <w:r w:rsidR="00417763">
        <w:rPr>
          <w:rFonts w:ascii="Arial" w:hAnsi="Arial" w:cs="Arial"/>
          <w:color w:val="212529"/>
          <w:sz w:val="23"/>
          <w:szCs w:val="23"/>
        </w:rPr>
        <w:t>s</w:t>
      </w:r>
      <w:r w:rsidR="00562D01">
        <w:rPr>
          <w:rFonts w:ascii="Arial" w:hAnsi="Arial" w:cs="Arial"/>
          <w:color w:val="212529"/>
          <w:sz w:val="23"/>
          <w:szCs w:val="23"/>
        </w:rPr>
        <w:t>, ou la modification des lieux de rassemblement.</w:t>
      </w:r>
      <w:r w:rsidR="00CA2694">
        <w:rPr>
          <w:rFonts w:ascii="Arial" w:hAnsi="Arial" w:cs="Arial"/>
          <w:color w:val="212529"/>
          <w:sz w:val="23"/>
          <w:szCs w:val="23"/>
        </w:rPr>
        <w:t xml:space="preserve"> </w:t>
      </w:r>
      <w:r w:rsidR="00973D2F" w:rsidRPr="00C40D51">
        <w:rPr>
          <w:rFonts w:ascii="Arial" w:hAnsi="Arial" w:cs="Arial"/>
          <w:sz w:val="22"/>
          <w:szCs w:val="22"/>
        </w:rPr>
        <w:t xml:space="preserve">Les enseignants du lycée Joliot-Curie sont inquiets pour eux, </w:t>
      </w:r>
      <w:r w:rsidR="00475B30" w:rsidRPr="00C40D51">
        <w:rPr>
          <w:rFonts w:ascii="Arial" w:hAnsi="Arial" w:cs="Arial"/>
          <w:sz w:val="22"/>
          <w:szCs w:val="22"/>
        </w:rPr>
        <w:t>et</w:t>
      </w:r>
      <w:r w:rsidR="00973D2F" w:rsidRPr="00C40D51">
        <w:rPr>
          <w:rFonts w:ascii="Arial" w:hAnsi="Arial" w:cs="Arial"/>
          <w:sz w:val="22"/>
          <w:szCs w:val="22"/>
        </w:rPr>
        <w:t xml:space="preserve"> pour leurs élèves. L'Education Nationale doit prendre ses responsabilités </w:t>
      </w:r>
      <w:r w:rsidR="00CA2694">
        <w:rPr>
          <w:rFonts w:ascii="Arial" w:hAnsi="Arial" w:cs="Arial"/>
          <w:sz w:val="22"/>
          <w:szCs w:val="22"/>
        </w:rPr>
        <w:t>car en cas d’incident la responsabilité reviendrait aux perso</w:t>
      </w:r>
      <w:r w:rsidR="00417763">
        <w:rPr>
          <w:rFonts w:ascii="Arial" w:hAnsi="Arial" w:cs="Arial"/>
          <w:sz w:val="22"/>
          <w:szCs w:val="22"/>
        </w:rPr>
        <w:t>nnels éducatifs et de direction</w:t>
      </w:r>
    </w:p>
    <w:p w:rsidR="00973D2F" w:rsidRDefault="00417763" w:rsidP="00CA2694">
      <w:pPr>
        <w:pStyle w:val="NormalWeb"/>
        <w:shd w:val="clear" w:color="auto" w:fill="FFFFFF"/>
        <w:rPr>
          <w:rFonts w:ascii="Arial" w:hAnsi="Arial" w:cs="Arial"/>
          <w:sz w:val="22"/>
          <w:szCs w:val="22"/>
        </w:rPr>
      </w:pPr>
      <w:r>
        <w:rPr>
          <w:rFonts w:ascii="Arial" w:hAnsi="Arial" w:cs="Arial"/>
          <w:sz w:val="22"/>
          <w:szCs w:val="22"/>
        </w:rPr>
        <w:t>Les élus représentants des enseignants</w:t>
      </w:r>
      <w:r w:rsidR="00CA2694">
        <w:rPr>
          <w:rFonts w:ascii="Arial" w:hAnsi="Arial" w:cs="Arial"/>
          <w:sz w:val="22"/>
          <w:szCs w:val="22"/>
        </w:rPr>
        <w:t xml:space="preserve">.  </w:t>
      </w:r>
    </w:p>
    <w:p w:rsidR="00CA2694" w:rsidRDefault="00386FCD">
      <w:pPr>
        <w:rPr>
          <w:rFonts w:ascii="Arial" w:hAnsi="Arial" w:cs="Arial"/>
        </w:rPr>
      </w:pPr>
      <w:r w:rsidRPr="00C40D51">
        <w:rPr>
          <w:rFonts w:ascii="Arial" w:hAnsi="Arial" w:cs="Arial"/>
        </w:rPr>
        <w:t>Nombre de votes pour:</w:t>
      </w:r>
      <w:r w:rsidR="00417763">
        <w:rPr>
          <w:rFonts w:ascii="Arial" w:hAnsi="Arial" w:cs="Arial"/>
        </w:rPr>
        <w:tab/>
      </w:r>
      <w:r w:rsidR="00417763">
        <w:rPr>
          <w:rFonts w:ascii="Arial" w:hAnsi="Arial" w:cs="Arial"/>
        </w:rPr>
        <w:tab/>
      </w:r>
      <w:r w:rsidR="00417763">
        <w:rPr>
          <w:rFonts w:ascii="Arial" w:hAnsi="Arial" w:cs="Arial"/>
        </w:rPr>
        <w:tab/>
      </w:r>
      <w:r w:rsidR="00417763">
        <w:rPr>
          <w:rFonts w:ascii="Arial" w:hAnsi="Arial" w:cs="Arial"/>
        </w:rPr>
        <w:tab/>
        <w:t>Nombre de refus de vote:</w:t>
      </w:r>
    </w:p>
    <w:p w:rsidR="00386FCD" w:rsidRPr="00C40D51" w:rsidRDefault="00386FCD">
      <w:pPr>
        <w:rPr>
          <w:rFonts w:ascii="Arial" w:hAnsi="Arial" w:cs="Arial"/>
        </w:rPr>
      </w:pPr>
      <w:r w:rsidRPr="00C40D51">
        <w:rPr>
          <w:rFonts w:ascii="Arial" w:hAnsi="Arial" w:cs="Arial"/>
        </w:rPr>
        <w:t>Nombre de votes contre:</w:t>
      </w:r>
      <w:r w:rsidRPr="00C40D51">
        <w:rPr>
          <w:rFonts w:ascii="Arial" w:hAnsi="Arial" w:cs="Arial"/>
        </w:rPr>
        <w:tab/>
      </w:r>
      <w:r w:rsidRPr="00C40D51">
        <w:rPr>
          <w:rFonts w:ascii="Arial" w:hAnsi="Arial" w:cs="Arial"/>
        </w:rPr>
        <w:tab/>
      </w:r>
      <w:r w:rsidRPr="00C40D51">
        <w:rPr>
          <w:rFonts w:ascii="Arial" w:hAnsi="Arial" w:cs="Arial"/>
        </w:rPr>
        <w:tab/>
      </w:r>
      <w:r w:rsidRPr="00C40D51">
        <w:rPr>
          <w:rFonts w:ascii="Arial" w:hAnsi="Arial" w:cs="Arial"/>
        </w:rPr>
        <w:tab/>
        <w:t>Nombre d'abstentions:</w:t>
      </w:r>
    </w:p>
    <w:sectPr w:rsidR="00386FCD" w:rsidRPr="00C40D51" w:rsidSect="00274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6ECB"/>
    <w:multiLevelType w:val="hybridMultilevel"/>
    <w:tmpl w:val="EEEA2A4C"/>
    <w:lvl w:ilvl="0" w:tplc="A6B61C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B62542"/>
    <w:multiLevelType w:val="hybridMultilevel"/>
    <w:tmpl w:val="5852C958"/>
    <w:lvl w:ilvl="0" w:tplc="FB408A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3D2F"/>
    <w:rsid w:val="00160DDD"/>
    <w:rsid w:val="00274057"/>
    <w:rsid w:val="00386FCD"/>
    <w:rsid w:val="003F3D8E"/>
    <w:rsid w:val="00417763"/>
    <w:rsid w:val="00475B30"/>
    <w:rsid w:val="00547F1A"/>
    <w:rsid w:val="00562D01"/>
    <w:rsid w:val="00700B08"/>
    <w:rsid w:val="008D0857"/>
    <w:rsid w:val="00973D2F"/>
    <w:rsid w:val="00A5717A"/>
    <w:rsid w:val="00C10C45"/>
    <w:rsid w:val="00C40D51"/>
    <w:rsid w:val="00CA2694"/>
    <w:rsid w:val="00D46D75"/>
    <w:rsid w:val="00FC03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3D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86F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502507">
      <w:bodyDiv w:val="1"/>
      <w:marLeft w:val="0"/>
      <w:marRight w:val="0"/>
      <w:marTop w:val="0"/>
      <w:marBottom w:val="0"/>
      <w:divBdr>
        <w:top w:val="none" w:sz="0" w:space="0" w:color="auto"/>
        <w:left w:val="none" w:sz="0" w:space="0" w:color="auto"/>
        <w:bottom w:val="none" w:sz="0" w:space="0" w:color="auto"/>
        <w:right w:val="none" w:sz="0" w:space="0" w:color="auto"/>
      </w:divBdr>
      <w:divsChild>
        <w:div w:id="158498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flefevre</dc:creator>
  <cp:lastModifiedBy>flefevre</cp:lastModifiedBy>
  <cp:revision>4</cp:revision>
  <dcterms:created xsi:type="dcterms:W3CDTF">2020-11-03T10:39:00Z</dcterms:created>
  <dcterms:modified xsi:type="dcterms:W3CDTF">2020-11-03T11:10:00Z</dcterms:modified>
</cp:coreProperties>
</file>